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E2BF" w14:textId="7717D701" w:rsidR="00514527" w:rsidRDefault="00514527" w:rsidP="00514527">
      <w:pPr>
        <w:pStyle w:val="Heading1"/>
      </w:pPr>
      <w:r>
        <w:t>Tax Return Documents</w:t>
      </w:r>
    </w:p>
    <w:p w14:paraId="0E6E2115" w14:textId="77777777" w:rsidR="00A00DB7" w:rsidRDefault="00A00DB7" w:rsidP="00A00DB7"/>
    <w:p w14:paraId="22AA28CB" w14:textId="3EE91241" w:rsidR="00A00DB7" w:rsidRDefault="00A00DB7" w:rsidP="00A00DB7">
      <w:pPr>
        <w:pStyle w:val="Heading2"/>
      </w:pPr>
      <w:r w:rsidRPr="00D64B62">
        <w:t xml:space="preserve">Short-stay holiday homes (e.g., Airbnb, </w:t>
      </w:r>
      <w:proofErr w:type="spellStart"/>
      <w:r w:rsidRPr="00D64B62">
        <w:t>Bookabach</w:t>
      </w:r>
      <w:proofErr w:type="spellEnd"/>
      <w:r w:rsidRPr="00D64B62">
        <w:t xml:space="preserve">) </w:t>
      </w:r>
    </w:p>
    <w:p w14:paraId="1002214E" w14:textId="77777777" w:rsidR="00A00DB7" w:rsidRDefault="00A00DB7" w:rsidP="00A00DB7"/>
    <w:p w14:paraId="2A84BA11" w14:textId="42F18DDE" w:rsidR="00A00DB7" w:rsidRPr="00D64B62" w:rsidRDefault="00A00DB7" w:rsidP="00A00DB7">
      <w:r>
        <w:t xml:space="preserve">These </w:t>
      </w:r>
      <w:r w:rsidRPr="00D64B62">
        <w:t xml:space="preserve">are subject to unique tax treatments in New Zealand, requiring documentation that differs significantly from long-term residential rentals. </w:t>
      </w:r>
    </w:p>
    <w:p w14:paraId="40E2EC67" w14:textId="1A418B65" w:rsidR="00A00DB7" w:rsidRPr="00D64B62" w:rsidRDefault="00A00DB7" w:rsidP="00A00DB7">
      <w:r w:rsidRPr="00D64B62">
        <w:t xml:space="preserve">Because these assets are frequently used for both private holidays and commercial renting, they often trigger the </w:t>
      </w:r>
      <w:hyperlink r:id="rId7" w:history="1">
        <w:r w:rsidRPr="00D64B62">
          <w:rPr>
            <w:rStyle w:val="Hyperlink"/>
          </w:rPr>
          <w:t>Inland Revenue (IRD) Mixed-Use Asset rules</w:t>
        </w:r>
      </w:hyperlink>
      <w:r w:rsidRPr="00D64B62">
        <w:t xml:space="preserve">. If the property is vacant for </w:t>
      </w:r>
      <w:r w:rsidRPr="00D64B62">
        <w:rPr>
          <w:b/>
          <w:bCs/>
        </w:rPr>
        <w:t>62 days or more</w:t>
      </w:r>
      <w:r w:rsidRPr="00D64B62">
        <w:t xml:space="preserve"> per year and is used both privately and commercially, you must provide specific usage data alongside your platform metrics. </w:t>
      </w:r>
    </w:p>
    <w:p w14:paraId="5C93F72B" w14:textId="77777777" w:rsidR="00A00DB7" w:rsidRPr="00A00DB7" w:rsidRDefault="00A00DB7" w:rsidP="00A00DB7">
      <w:pPr>
        <w:rPr>
          <w:b/>
          <w:bCs/>
        </w:rPr>
      </w:pPr>
      <w:r w:rsidRPr="00A00DB7">
        <w:rPr>
          <w:b/>
          <w:bCs/>
        </w:rPr>
        <w:t>To prepare your tax return accurately, compile the following additional documents:</w:t>
      </w:r>
    </w:p>
    <w:p w14:paraId="337E1EF6" w14:textId="77777777" w:rsidR="00A00DB7" w:rsidRPr="00D64B62" w:rsidRDefault="00A00DB7" w:rsidP="00A00DB7">
      <w:pPr>
        <w:rPr>
          <w:b/>
          <w:bCs/>
        </w:rPr>
      </w:pPr>
      <w:r w:rsidRPr="00D64B62">
        <w:rPr>
          <w:b/>
          <w:bCs/>
        </w:rPr>
        <w:t>1. Platform &amp; Marketplace Summaries</w:t>
      </w:r>
    </w:p>
    <w:p w14:paraId="0876A441" w14:textId="71F9175B" w:rsidR="00A00DB7" w:rsidRPr="00D64B62" w:rsidRDefault="00A00DB7" w:rsidP="00A00DB7">
      <w:pPr>
        <w:numPr>
          <w:ilvl w:val="0"/>
          <w:numId w:val="1"/>
        </w:numPr>
      </w:pPr>
      <w:r w:rsidRPr="00D64B62">
        <w:rPr>
          <w:b/>
          <w:bCs/>
        </w:rPr>
        <w:t>Gross Income Reports</w:t>
      </w:r>
      <w:r w:rsidRPr="00D64B62">
        <w:t xml:space="preserve">: Annual payout summaries from platforms like Airbnb, </w:t>
      </w:r>
      <w:proofErr w:type="spellStart"/>
      <w:r w:rsidRPr="00D64B62">
        <w:t>Bookabach</w:t>
      </w:r>
      <w:proofErr w:type="spellEnd"/>
      <w:r w:rsidRPr="00D64B62">
        <w:t xml:space="preserve">, or Booking.com showing gross booking revenue before any host fees. </w:t>
      </w:r>
    </w:p>
    <w:p w14:paraId="4A87FFC5" w14:textId="68C37513" w:rsidR="00A00DB7" w:rsidRPr="00D64B62" w:rsidRDefault="00A00DB7" w:rsidP="00A00DB7">
      <w:pPr>
        <w:numPr>
          <w:ilvl w:val="0"/>
          <w:numId w:val="1"/>
        </w:numPr>
      </w:pPr>
      <w:r w:rsidRPr="00D64B62">
        <w:rPr>
          <w:b/>
          <w:bCs/>
        </w:rPr>
        <w:t>Platform Service Fees</w:t>
      </w:r>
      <w:r w:rsidRPr="00D64B62">
        <w:t xml:space="preserve">: Invoices detailing the host commissions or service fees deducted by the platform (which are 100% deductible). </w:t>
      </w:r>
    </w:p>
    <w:p w14:paraId="5E6BFE35" w14:textId="67F820BD" w:rsidR="00A00DB7" w:rsidRPr="00D64B62" w:rsidRDefault="00A00DB7" w:rsidP="00A00DB7">
      <w:pPr>
        <w:numPr>
          <w:ilvl w:val="0"/>
          <w:numId w:val="1"/>
        </w:numPr>
      </w:pPr>
      <w:r w:rsidRPr="00D64B62">
        <w:rPr>
          <w:b/>
          <w:bCs/>
        </w:rPr>
        <w:t>GST Marketplace Statements</w:t>
      </w:r>
      <w:r w:rsidRPr="00D64B62">
        <w:t xml:space="preserve">: The platform's summary of the GST collected on your behalf. </w:t>
      </w:r>
      <w:r w:rsidRPr="00D64B62">
        <w:rPr>
          <w:i/>
          <w:iCs/>
        </w:rPr>
        <w:t>Note: Under the marketplace rules, platforms collect 15% GST on bookings and pass back an 8.5% flat-rate credit to non-GST registered hosts.</w:t>
      </w:r>
      <w:r w:rsidRPr="00D64B62">
        <w:t xml:space="preserve"> </w:t>
      </w:r>
    </w:p>
    <w:p w14:paraId="700428B1" w14:textId="77777777" w:rsidR="00A00DB7" w:rsidRPr="00D64B62" w:rsidRDefault="00A00DB7" w:rsidP="00A00DB7">
      <w:pPr>
        <w:rPr>
          <w:b/>
          <w:bCs/>
        </w:rPr>
      </w:pPr>
      <w:r w:rsidRPr="00D64B62">
        <w:rPr>
          <w:b/>
          <w:bCs/>
        </w:rPr>
        <w:t>2. Precise Calendar &amp; Tracking Logs</w:t>
      </w:r>
    </w:p>
    <w:p w14:paraId="6A9A0EA7" w14:textId="77777777" w:rsidR="00A00DB7" w:rsidRPr="00D64B62" w:rsidRDefault="00A00DB7" w:rsidP="00A00DB7">
      <w:pPr>
        <w:numPr>
          <w:ilvl w:val="0"/>
          <w:numId w:val="2"/>
        </w:numPr>
      </w:pPr>
      <w:r w:rsidRPr="00D64B62">
        <w:rPr>
          <w:b/>
          <w:bCs/>
        </w:rPr>
        <w:t>The "Mixed-Use" Occupancy Log</w:t>
      </w:r>
      <w:r w:rsidRPr="00D64B62">
        <w:t>: A detailed spreadsheet tracking every single day of the tax year, categorised into:</w:t>
      </w:r>
    </w:p>
    <w:p w14:paraId="3330FC5A" w14:textId="77777777" w:rsidR="00A00DB7" w:rsidRPr="00D64B62" w:rsidRDefault="00A00DB7" w:rsidP="00A00DB7">
      <w:pPr>
        <w:numPr>
          <w:ilvl w:val="1"/>
          <w:numId w:val="2"/>
        </w:numPr>
      </w:pPr>
      <w:r w:rsidRPr="00D64B62">
        <w:rPr>
          <w:b/>
          <w:bCs/>
        </w:rPr>
        <w:t>Commercial Days</w:t>
      </w:r>
      <w:r w:rsidRPr="00D64B62">
        <w:t>: Nights rented to paying guests at market rate.</w:t>
      </w:r>
    </w:p>
    <w:p w14:paraId="794DE0CF" w14:textId="77777777" w:rsidR="00A00DB7" w:rsidRPr="00D64B62" w:rsidRDefault="00A00DB7" w:rsidP="00A00DB7">
      <w:pPr>
        <w:numPr>
          <w:ilvl w:val="1"/>
          <w:numId w:val="2"/>
        </w:numPr>
      </w:pPr>
      <w:r w:rsidRPr="00D64B62">
        <w:rPr>
          <w:b/>
          <w:bCs/>
        </w:rPr>
        <w:t>Private Days</w:t>
      </w:r>
      <w:r w:rsidRPr="00D64B62">
        <w:t>: Nights used by you, your family, or friends (even if they paid discounted mates-rates).</w:t>
      </w:r>
    </w:p>
    <w:p w14:paraId="3BB6566B" w14:textId="41330382" w:rsidR="00A00DB7" w:rsidRPr="00D64B62" w:rsidRDefault="00A00DB7" w:rsidP="00A00DB7">
      <w:pPr>
        <w:numPr>
          <w:ilvl w:val="1"/>
          <w:numId w:val="2"/>
        </w:numPr>
      </w:pPr>
      <w:r w:rsidRPr="00D64B62">
        <w:rPr>
          <w:b/>
          <w:bCs/>
        </w:rPr>
        <w:t>Unused/Vacant Days</w:t>
      </w:r>
      <w:r w:rsidRPr="00D64B62">
        <w:t xml:space="preserve">: Days the property sat empty but was actively advertised for rent. </w:t>
      </w:r>
    </w:p>
    <w:p w14:paraId="5D1E0C07" w14:textId="2C9F0234" w:rsidR="00A00DB7" w:rsidRDefault="00A00DB7" w:rsidP="00A00DB7">
      <w:pPr>
        <w:numPr>
          <w:ilvl w:val="0"/>
          <w:numId w:val="2"/>
        </w:numPr>
      </w:pPr>
      <w:r w:rsidRPr="00D64B62">
        <w:rPr>
          <w:b/>
          <w:bCs/>
        </w:rPr>
        <w:t>Marketing Evidence</w:t>
      </w:r>
      <w:r w:rsidRPr="00D64B62">
        <w:t xml:space="preserve">: Printouts or screenshots of your live online listings showing the property was actively available to the public on its vacant days. This is essential for defending your expense deductions during an IRD audit. </w:t>
      </w:r>
    </w:p>
    <w:p w14:paraId="6A36C16D" w14:textId="77777777" w:rsidR="00A00DB7" w:rsidRPr="00D64B62" w:rsidRDefault="00A00DB7" w:rsidP="00A00DB7">
      <w:pPr>
        <w:ind w:left="720"/>
      </w:pPr>
    </w:p>
    <w:p w14:paraId="64C05B7B" w14:textId="77777777" w:rsidR="00A00DB7" w:rsidRPr="00D64B62" w:rsidRDefault="00A00DB7" w:rsidP="00A00DB7">
      <w:pPr>
        <w:rPr>
          <w:b/>
          <w:bCs/>
        </w:rPr>
      </w:pPr>
      <w:r w:rsidRPr="00D64B62">
        <w:rPr>
          <w:b/>
          <w:bCs/>
        </w:rPr>
        <w:t>3. Dedicated Operational Expense Receipts</w:t>
      </w:r>
    </w:p>
    <w:p w14:paraId="42826FF3" w14:textId="56A40B38" w:rsidR="00A00DB7" w:rsidRPr="00D64B62" w:rsidRDefault="00A00DB7" w:rsidP="00A00DB7">
      <w:r w:rsidRPr="00D64B62">
        <w:t xml:space="preserve">Unlike long-term rentals, short-stay properties incur high-turnover operating costs. You need receipts for: </w:t>
      </w:r>
    </w:p>
    <w:p w14:paraId="210D9732" w14:textId="77777777" w:rsidR="00A00DB7" w:rsidRPr="00D64B62" w:rsidRDefault="00A00DB7" w:rsidP="00A00DB7">
      <w:pPr>
        <w:numPr>
          <w:ilvl w:val="0"/>
          <w:numId w:val="3"/>
        </w:numPr>
      </w:pPr>
      <w:r w:rsidRPr="00D64B62">
        <w:rPr>
          <w:b/>
          <w:bCs/>
        </w:rPr>
        <w:t>Cleaning and Linen Services</w:t>
      </w:r>
      <w:r w:rsidRPr="00D64B62">
        <w:t>: Invoices for commercial cleaning, laundering, or property management guest changeovers.</w:t>
      </w:r>
    </w:p>
    <w:p w14:paraId="216E0B71" w14:textId="77777777" w:rsidR="00A00DB7" w:rsidRPr="00D64B62" w:rsidRDefault="00A00DB7" w:rsidP="00A00DB7">
      <w:pPr>
        <w:numPr>
          <w:ilvl w:val="0"/>
          <w:numId w:val="3"/>
        </w:numPr>
      </w:pPr>
      <w:r w:rsidRPr="00D64B62">
        <w:rPr>
          <w:b/>
          <w:bCs/>
        </w:rPr>
        <w:t>Guest Amenities &amp; Supplies</w:t>
      </w:r>
      <w:r w:rsidRPr="00D64B62">
        <w:t>: Receipts for consumables provided directly to guests, such as coffee, toiletries, firewood, or welcome baskets.</w:t>
      </w:r>
    </w:p>
    <w:p w14:paraId="15B9C352" w14:textId="77777777" w:rsidR="00A00DB7" w:rsidRPr="00D64B62" w:rsidRDefault="00A00DB7" w:rsidP="00A00DB7">
      <w:pPr>
        <w:numPr>
          <w:ilvl w:val="0"/>
          <w:numId w:val="3"/>
        </w:numPr>
      </w:pPr>
      <w:r w:rsidRPr="00D64B62">
        <w:rPr>
          <w:b/>
          <w:bCs/>
        </w:rPr>
        <w:t>Marketing &amp; Presentation Costs</w:t>
      </w:r>
      <w:r w:rsidRPr="00D64B62">
        <w:t>: Invoices for professional listing photography, channel managers, or local tourism advertising.</w:t>
      </w:r>
    </w:p>
    <w:p w14:paraId="1286EF64" w14:textId="41D0982B" w:rsidR="00A00DB7" w:rsidRPr="00D64B62" w:rsidRDefault="00A00DB7" w:rsidP="00A00DB7">
      <w:pPr>
        <w:numPr>
          <w:ilvl w:val="0"/>
          <w:numId w:val="3"/>
        </w:numPr>
      </w:pPr>
      <w:r w:rsidRPr="00D64B62">
        <w:rPr>
          <w:b/>
          <w:bCs/>
        </w:rPr>
        <w:t>Utility Statements</w:t>
      </w:r>
      <w:r w:rsidRPr="00D64B62">
        <w:t xml:space="preserve">: Complete 12-month bills for power, gas, and internet (which are typically paid by the host rather than the tenant). </w:t>
      </w:r>
    </w:p>
    <w:p w14:paraId="5D9A978F" w14:textId="77777777" w:rsidR="00A00DB7" w:rsidRPr="00D64B62" w:rsidRDefault="00A00DB7" w:rsidP="00A00DB7">
      <w:pPr>
        <w:rPr>
          <w:b/>
          <w:bCs/>
        </w:rPr>
      </w:pPr>
      <w:r w:rsidRPr="00D64B62">
        <w:rPr>
          <w:b/>
          <w:bCs/>
        </w:rPr>
        <w:t>4. Advanced Property Asset Schedules</w:t>
      </w:r>
    </w:p>
    <w:p w14:paraId="0EB526B0" w14:textId="2AA96088" w:rsidR="00A00DB7" w:rsidRPr="00D64B62" w:rsidRDefault="00A00DB7" w:rsidP="00A00DB7">
      <w:pPr>
        <w:numPr>
          <w:ilvl w:val="0"/>
          <w:numId w:val="4"/>
        </w:numPr>
      </w:pPr>
      <w:r w:rsidRPr="00D64B62">
        <w:rPr>
          <w:b/>
          <w:bCs/>
        </w:rPr>
        <w:t>Short-Stay Chattels Schedule</w:t>
      </w:r>
      <w:r w:rsidRPr="00D64B62">
        <w:t xml:space="preserve">: Purchase receipts for items prone to frequent updating or high wear-and-tear (e.g., smart locks, hot tubs, specific guest furniture, televisions) to claim depreciation. </w:t>
      </w:r>
    </w:p>
    <w:p w14:paraId="089BF71C" w14:textId="72E30416" w:rsidR="0076555B" w:rsidRPr="0076555B" w:rsidRDefault="0076555B" w:rsidP="00A00DB7">
      <w:pPr>
        <w:pStyle w:val="Heading2"/>
      </w:pPr>
    </w:p>
    <w:sectPr w:rsidR="0076555B" w:rsidRPr="007655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ABAD" w14:textId="77777777" w:rsidR="00017063" w:rsidRDefault="00017063" w:rsidP="00DF3811">
      <w:pPr>
        <w:spacing w:after="0" w:line="240" w:lineRule="auto"/>
      </w:pPr>
      <w:r>
        <w:separator/>
      </w:r>
    </w:p>
  </w:endnote>
  <w:endnote w:type="continuationSeparator" w:id="0">
    <w:p w14:paraId="50042FEA" w14:textId="77777777" w:rsidR="00017063" w:rsidRDefault="00017063" w:rsidP="00DF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2D9B" w14:textId="34ECD81F" w:rsidR="00DF3811" w:rsidRPr="00DF3811" w:rsidRDefault="00DF3811">
    <w:pPr>
      <w:pStyle w:val="Footer"/>
    </w:pPr>
    <w:r w:rsidRPr="00DF3811">
      <w:t xml:space="preserve">Better Business &amp; Tax | bbtax.co.nz | </w:t>
    </w:r>
    <w:hyperlink r:id="rId1" w:history="1">
      <w:r w:rsidRPr="00DF3811">
        <w:rPr>
          <w:rStyle w:val="Hyperlink"/>
        </w:rPr>
        <w:t>info@betterbusinessandtax.com</w:t>
      </w:r>
    </w:hyperlink>
    <w:r w:rsidRPr="00DF3811">
      <w:t xml:space="preserve"> | +64 28 410 4208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22DA" w14:textId="77777777" w:rsidR="00017063" w:rsidRDefault="00017063" w:rsidP="00DF3811">
      <w:pPr>
        <w:spacing w:after="0" w:line="240" w:lineRule="auto"/>
      </w:pPr>
      <w:r>
        <w:separator/>
      </w:r>
    </w:p>
  </w:footnote>
  <w:footnote w:type="continuationSeparator" w:id="0">
    <w:p w14:paraId="434FCE88" w14:textId="77777777" w:rsidR="00017063" w:rsidRDefault="00017063" w:rsidP="00DF3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CE79" w14:textId="15B02BE5" w:rsidR="00DF3811" w:rsidRDefault="00DF3811">
    <w:pPr>
      <w:pStyle w:val="Header"/>
    </w:pPr>
    <w:r>
      <w:rPr>
        <w:noProof/>
      </w:rPr>
      <w:drawing>
        <wp:anchor distT="0" distB="0" distL="114300" distR="114300" simplePos="0" relativeHeight="251658240" behindDoc="1" locked="0" layoutInCell="1" allowOverlap="1" wp14:anchorId="2290AB3D" wp14:editId="00EAB382">
          <wp:simplePos x="0" y="0"/>
          <wp:positionH relativeFrom="column">
            <wp:posOffset>5562600</wp:posOffset>
          </wp:positionH>
          <wp:positionV relativeFrom="topMargin">
            <wp:align>bottom</wp:align>
          </wp:positionV>
          <wp:extent cx="790575" cy="789940"/>
          <wp:effectExtent l="0" t="0" r="0" b="0"/>
          <wp:wrapTight wrapText="bothSides">
            <wp:wrapPolygon edited="0">
              <wp:start x="7807" y="521"/>
              <wp:lineTo x="4164" y="4167"/>
              <wp:lineTo x="1041" y="7814"/>
              <wp:lineTo x="1041" y="11460"/>
              <wp:lineTo x="4684" y="18232"/>
              <wp:lineTo x="7287" y="19794"/>
              <wp:lineTo x="14573" y="19794"/>
              <wp:lineTo x="17176" y="18232"/>
              <wp:lineTo x="20299" y="11981"/>
              <wp:lineTo x="20819" y="7293"/>
              <wp:lineTo x="18217" y="3646"/>
              <wp:lineTo x="13533" y="521"/>
              <wp:lineTo x="7807" y="521"/>
            </wp:wrapPolygon>
          </wp:wrapTight>
          <wp:docPr id="85204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41209" name="Picture 852041209"/>
                  <pic:cNvPicPr/>
                </pic:nvPicPr>
                <pic:blipFill>
                  <a:blip r:embed="rId1">
                    <a:extLst>
                      <a:ext uri="{28A0092B-C50C-407E-A947-70E740481C1C}">
                        <a14:useLocalDpi xmlns:a14="http://schemas.microsoft.com/office/drawing/2010/main" val="0"/>
                      </a:ext>
                    </a:extLst>
                  </a:blip>
                  <a:stretch>
                    <a:fillRect/>
                  </a:stretch>
                </pic:blipFill>
                <pic:spPr>
                  <a:xfrm>
                    <a:off x="0" y="0"/>
                    <a:ext cx="790575" cy="789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19"/>
    <w:multiLevelType w:val="multilevel"/>
    <w:tmpl w:val="163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560EF"/>
    <w:multiLevelType w:val="multilevel"/>
    <w:tmpl w:val="E410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53C2"/>
    <w:multiLevelType w:val="multilevel"/>
    <w:tmpl w:val="01F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A39FF"/>
    <w:multiLevelType w:val="multilevel"/>
    <w:tmpl w:val="5A68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245963">
    <w:abstractNumId w:val="3"/>
  </w:num>
  <w:num w:numId="2" w16cid:durableId="1151755724">
    <w:abstractNumId w:val="1"/>
  </w:num>
  <w:num w:numId="3" w16cid:durableId="1620406240">
    <w:abstractNumId w:val="0"/>
  </w:num>
  <w:num w:numId="4" w16cid:durableId="12269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11"/>
    <w:rsid w:val="00017063"/>
    <w:rsid w:val="00090DF4"/>
    <w:rsid w:val="00103F1B"/>
    <w:rsid w:val="00385934"/>
    <w:rsid w:val="00481062"/>
    <w:rsid w:val="00514527"/>
    <w:rsid w:val="0076555B"/>
    <w:rsid w:val="0089427C"/>
    <w:rsid w:val="00A00DB7"/>
    <w:rsid w:val="00BA7EC5"/>
    <w:rsid w:val="00C34B3D"/>
    <w:rsid w:val="00C750C8"/>
    <w:rsid w:val="00D942DF"/>
    <w:rsid w:val="00DF3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E30E"/>
  <w15:chartTrackingRefBased/>
  <w15:docId w15:val="{81BDC104-2891-4CFD-B498-179FC63F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11"/>
  </w:style>
  <w:style w:type="paragraph" w:styleId="Heading1">
    <w:name w:val="heading 1"/>
    <w:basedOn w:val="Normal"/>
    <w:next w:val="Normal"/>
    <w:link w:val="Heading1Char"/>
    <w:uiPriority w:val="9"/>
    <w:qFormat/>
    <w:rsid w:val="00DF3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811"/>
    <w:rPr>
      <w:rFonts w:eastAsiaTheme="majorEastAsia" w:cstheme="majorBidi"/>
      <w:color w:val="272727" w:themeColor="text1" w:themeTint="D8"/>
    </w:rPr>
  </w:style>
  <w:style w:type="paragraph" w:styleId="Title">
    <w:name w:val="Title"/>
    <w:basedOn w:val="Normal"/>
    <w:next w:val="Normal"/>
    <w:link w:val="TitleChar"/>
    <w:uiPriority w:val="10"/>
    <w:qFormat/>
    <w:rsid w:val="00DF3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811"/>
    <w:pPr>
      <w:spacing w:before="160"/>
      <w:jc w:val="center"/>
    </w:pPr>
    <w:rPr>
      <w:i/>
      <w:iCs/>
      <w:color w:val="404040" w:themeColor="text1" w:themeTint="BF"/>
    </w:rPr>
  </w:style>
  <w:style w:type="character" w:customStyle="1" w:styleId="QuoteChar">
    <w:name w:val="Quote Char"/>
    <w:basedOn w:val="DefaultParagraphFont"/>
    <w:link w:val="Quote"/>
    <w:uiPriority w:val="29"/>
    <w:rsid w:val="00DF3811"/>
    <w:rPr>
      <w:i/>
      <w:iCs/>
      <w:color w:val="404040" w:themeColor="text1" w:themeTint="BF"/>
    </w:rPr>
  </w:style>
  <w:style w:type="paragraph" w:styleId="ListParagraph">
    <w:name w:val="List Paragraph"/>
    <w:basedOn w:val="Normal"/>
    <w:uiPriority w:val="34"/>
    <w:qFormat/>
    <w:rsid w:val="00DF3811"/>
    <w:pPr>
      <w:ind w:left="720"/>
      <w:contextualSpacing/>
    </w:pPr>
  </w:style>
  <w:style w:type="character" w:styleId="IntenseEmphasis">
    <w:name w:val="Intense Emphasis"/>
    <w:basedOn w:val="DefaultParagraphFont"/>
    <w:uiPriority w:val="21"/>
    <w:qFormat/>
    <w:rsid w:val="00DF3811"/>
    <w:rPr>
      <w:i/>
      <w:iCs/>
      <w:color w:val="0F4761" w:themeColor="accent1" w:themeShade="BF"/>
    </w:rPr>
  </w:style>
  <w:style w:type="paragraph" w:styleId="IntenseQuote">
    <w:name w:val="Intense Quote"/>
    <w:basedOn w:val="Normal"/>
    <w:next w:val="Normal"/>
    <w:link w:val="IntenseQuoteChar"/>
    <w:uiPriority w:val="30"/>
    <w:qFormat/>
    <w:rsid w:val="00DF3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811"/>
    <w:rPr>
      <w:i/>
      <w:iCs/>
      <w:color w:val="0F4761" w:themeColor="accent1" w:themeShade="BF"/>
    </w:rPr>
  </w:style>
  <w:style w:type="character" w:styleId="IntenseReference">
    <w:name w:val="Intense Reference"/>
    <w:basedOn w:val="DefaultParagraphFont"/>
    <w:uiPriority w:val="32"/>
    <w:qFormat/>
    <w:rsid w:val="00DF3811"/>
    <w:rPr>
      <w:b/>
      <w:bCs/>
      <w:smallCaps/>
      <w:color w:val="0F4761" w:themeColor="accent1" w:themeShade="BF"/>
      <w:spacing w:val="5"/>
    </w:rPr>
  </w:style>
  <w:style w:type="paragraph" w:styleId="Header">
    <w:name w:val="header"/>
    <w:basedOn w:val="Normal"/>
    <w:link w:val="HeaderChar"/>
    <w:uiPriority w:val="99"/>
    <w:unhideWhenUsed/>
    <w:rsid w:val="00DF3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811"/>
  </w:style>
  <w:style w:type="paragraph" w:styleId="Footer">
    <w:name w:val="footer"/>
    <w:basedOn w:val="Normal"/>
    <w:link w:val="FooterChar"/>
    <w:uiPriority w:val="99"/>
    <w:unhideWhenUsed/>
    <w:rsid w:val="00DF3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811"/>
  </w:style>
  <w:style w:type="character" w:styleId="Hyperlink">
    <w:name w:val="Hyperlink"/>
    <w:basedOn w:val="DefaultParagraphFont"/>
    <w:uiPriority w:val="99"/>
    <w:unhideWhenUsed/>
    <w:rsid w:val="00DF3811"/>
    <w:rPr>
      <w:color w:val="467886" w:themeColor="hyperlink"/>
      <w:u w:val="single"/>
    </w:rPr>
  </w:style>
  <w:style w:type="character" w:styleId="UnresolvedMention">
    <w:name w:val="Unresolved Mention"/>
    <w:basedOn w:val="DefaultParagraphFont"/>
    <w:uiPriority w:val="99"/>
    <w:semiHidden/>
    <w:unhideWhenUsed/>
    <w:rsid w:val="00DF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d.govt.nz/property/renting-out-residential-property/tax-by-rental-property-type/renting-out-a-holiday-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etterbusinessandta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Higgins-Smith</dc:creator>
  <cp:keywords/>
  <dc:description/>
  <cp:lastModifiedBy>Dean Higgins-Smith</cp:lastModifiedBy>
  <cp:revision>2</cp:revision>
  <dcterms:created xsi:type="dcterms:W3CDTF">2026-06-11T06:11:00Z</dcterms:created>
  <dcterms:modified xsi:type="dcterms:W3CDTF">2026-06-11T06:11:00Z</dcterms:modified>
</cp:coreProperties>
</file>